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289</w:t>
      </w:r>
    </w:p>
    <w:p>
      <w:r>
        <w:t>Bundesgericht (BGE), 2001-07-24, DE</w:t>
      </w:r>
    </w:p>
    <w:p>
      <w:r>
        <w:rPr>
          <w:b/>
        </w:rPr>
        <w:t xml:space="preserve">Quelle: </w:t>
      </w:r>
      <w:r>
        <w:t>https://mcp.opencaselaw.ch/entscheid/bge_127 II 289</w:t>
      </w:r>
    </w:p>
    <w:p>
      <w:r>
        <w:t>FR: ATF 127 II 289</w:t>
      </w:r>
    </w:p>
    <w:p>
      <w:r>
        <w:t>IT: DTF 127 II 289</w:t>
      </w:r>
    </w:p>
    <w:p>
      <w:pPr>
        <w:pStyle w:val="Heading2"/>
      </w:pPr>
      <w:r>
        <w:t>Regeste</w:t>
      </w:r>
    </w:p>
    <w:p>
      <w:r>
        <w:t>Regeste Art. 135 Abs. 1 und 3 MG; Verhältnis der Haftung des Bundes nach Militärgesetz zur Haftung nach Militärversicherungsgesetz. Gemäss Art. 135 Abs. 3 MG richtet sich die Haftung des Bundes bei Tatbeständen, die unter andere Haftungsbestimmungen fallen, nach diesen Bestimmungen. Ausschluss der Haftung nach Militärgesetz, wenn die Militärversicherung Leistungen erbringt (E. 2)? Rechtsnatur der Militärversicherung; sie weist zwar Elemente des (Sozial-)Versicherungsrechts, aber massgeblich auch Elemente des Staatshaftungsrechts/Haftpflichtrechts auf. Die Bestimmungen des Militärversicherungsgesetzes sind daher "andere Haftungsbestimmungen" gemäss Art. 135 Abs. 3 MG und schliessen die Haftung nach Militärgesetz aus (E. 3b und d). Es liegen diesbezüglich keine Gründe für eine Praxisänderung vor (E. 3a und c).</w:t>
      </w:r>
    </w:p>
    <w:p>
      <w:pPr>
        <w:pStyle w:val="Heading2"/>
      </w:pPr>
      <w:r>
        <w:t>Erwägungen</w:t>
      </w:r>
    </w:p>
    <w:p>
      <w:r>
        <w:rPr>
          <w:b/>
        </w:rPr>
        <w:t>E. 2</w:t>
      </w:r>
    </w:p>
    <w:p>
      <w:r>
        <w:t>Der Beschwerdeführer will die Eidgenossenschaft gestützt auf Art. 135 MG für Schäden haftbar machen, soweit diese durch Leistungen der Militärversicherung nicht vollständig gedeckt sind. Nach Art. 135 Abs. 1 MG haftet der Bund ohne Rücksicht auf das Verschulden für den Schaden, den Angehörige der Armee oder die Truppe widerrechtlich zufügen: durch eine besonders gefährliche Tätigkeit (lit. a); oder in Ausübung einer andern dienstlichen Tätigkeit (lit. b). Die Beschwerdegegnerin stellt nicht in Abrede, dass für den dem Beschwerdeführer durch den Unfall erwachsenen Schaden an sich ein Schadenersatzbegehren gemäss Art. 135 Abs. 1 MG gestellt werden könnte. Indessen lehnt sie eine Haftung gestützt auf diese Norm unter Hinweis auf Art. 135 Abs. 3 MG ab. Danach richtet sich die Haftung des Bundes bei Tatbeständen, die unter andere Haftungsbestimmungen fallen, nach diesen Bestimmungen. Nach Auffassung der Beschwerdegegnerin handelt es sich bei den Vorschriften des Militärversicherungsgesetzes, gestützt worauf dem Beschwerdeführer vorliegend Leistungen ausgerichtet werden, um eigentliche Haftungsbestimmungen im Sinne von Art. 135 Abs. 3 MG , was eine Haftung nach Militärgesetz ausschliesse. Der Beschwerdeführer bestreitet dies; er macht geltend, das Militärversicherungsgesetz sei ein Gesetz (sozial-)versicherungsrechtlicher Natur. Es ist nachfolgend zu prüfen, ob die Bestimmungen des Militärversicherungsgesetzes als "andere Haftungsbestimmungen" im Sinne von Art. 135 Abs. 3 MG zu gelten haben. BGE 127 II 289 S. 292</w:t>
      </w:r>
    </w:p>
    <w:p>
      <w:r>
        <w:rPr>
          <w:b/>
        </w:rPr>
        <w:t>E. 3</w:t>
      </w:r>
    </w:p>
    <w:p>
      <w:r>
        <w:t>a) Art. 135 Abs. 3 MG übernimmt die Regelung des durch das Militärgesetz abgeschafften Bundesgesetzes vom 12. April 1907 über die Militärorganisation (MO; BS 5, 3), und zwar von Art. 22 Abs. 2 MO in der Fassung vom 5. Oktober 1967 (AS 1968 S. 73), wobei dort nicht von anderen Haftungs-, sondern von anderen Haftpflichtbestimmungen die Rede war. Das Bundesgericht hatte sich in einem Urteil vom 30. September 1977 mit dem Dahinfallen des Haftungsanspruchs gemäss Art. 22 Abs. 2 MO zu befassen. Es hielt insbesondere fest: Die Militärversicherung bestehe in der Übernahme des Schadenersatzes durch den Bund in Formen, die für Versicherungsleistungen charakteristisch seien. Sie sei indessen keine Versicherung im technischen Sinn, denn sie gewähre keinen durch eigene finanzielle Leistungen erworbenen Anspruch des Versicherten auf eine beim Eintritt eines bestimmten Ereignisses fällige Leistung des Versicherers; die für den Begriff der Versicherung wesentliche Prämienleistung des Anspruchsberechtigten fehle. Die Militärversicherung werde ausschliesslich durch das Bundesbudget finanziert. Es wäre daher korrekter, statt von einer Versicherung von einer staatlichen Haftung gegenüber dem Wehrmann zu sprechen. Die Bezeichnung "Versicherung" sei bloss aus historischen Gründen und darum beibehalten worden, weil sie zum allgemeinen Sprach- und Rechtsgut geworden sei. Aufgrund der Rechtsnatur der Militärversicherung sei daher nicht fraglich, dass es sich bei den Vorschriften des Militärversicherungsgesetzes um eigentliche Haftpflichtbestimmungen handle und dass insofern der Anwendung des Vorbehalts von Art. 22 Abs. 2 MO nichts entgegenstehe ( BGE 103 Ib 276 E. 4 S. 279). Das Bundesgericht führte weiter aus, dass diese Auslegung mit der Entstehungsgeschichte von Art. 22 Abs. 2 MO (E. 5 S. 279 ff.) sowie mit den übrigen gesetzlichen Sonderregelungen betreffend die Militärhaftpflicht (E. 6 S. 281) vereinbar sei und dass schliesslich auch das Rechtsgleichheitsgebot keine andere Interpretation gebiete (E. 7 S. 281 f.). Der Beschwerdeführer macht geltend, an dieser Auffassung könne nicht festgehalten werden. Er beantragt mit anderen Worten eine Änderung der Rechtsprechung.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BGE 127 II 289 S. 293 veränderten äusseren Verhältnissen oder gewandelten Rechtsanschauungen entspricht; andernfalls ist die bisherige Praxis beizubehalten ( BGE 126 I 122 E. 5 S. 129; BGE 125 I 458 E. 4a S. 471; BGE 125 III 312 E. 7 S. 321; BGE 125 V 205 E. 2 S. 207; BGE 124 V 386 E. 4c S. 387). b) Die Militärversicherung ist ein Versicherungs- und Haftungssystem des Bundes für Dienstleistende in Armee, Zivilschutz und Zivildienst sowie einen engen Kreis weiterer Personen (JÜRG MAESCHI, Das Bundesgesetz über die Militärversicherung [MVG] vom 19. Juni 1992 und die Koordination des Sozialversicherungsrechts, in: SZS 2001 S. 270). Sie wird daher entsprechend ihrer Natur von der einhelligen Lehre sowohl dem Sozialversicherungsrecht als auch dem Staatshaftungsrecht zugerechnet (MAESCHI, a.a.O.; derselbe, Kommentar zum Bundesgesetz über die Militärversicherung [MVG] vom 19. Juni 1992, Bern 2000, S. 8 ff.; CHRISTOF STEGER-BRUHIN, Die Haftungsgrundsätze der Militärversicherung, Diss. St. Gallen, Zürich 1996, S. 20 ff.; ALEXANDRA RUMO-JUNGO, Haftpflicht und Sozialversicherung, Freiburg 1998, S. 42 ff.). Wenn der Beschwerdeführer mit ausführlichen Darlegungen und Hinweisen die versicherungsrechtlichen Komponenten der Militärversicherung aufzeigt, welche auch das Bundesgericht in BGE 103 Ib 276 nicht übersehen und durchaus anerkannt hat, bedeutet dies darum noch nicht, dass es sich bei den Bestimmungen des Militärversicherungsgesetzes nicht (auch) um Haftungsbestimmungen im Sinne von Art. 135 Abs. 3 MG handelt, welche eine - zusätzliche - Haftung des Bundes nach dem Militärgesetz ausschliessen würden. Dies könnte nur dann angenommen werden, wenn die haftpflichtrechtlichen Charakteristika der Militärversicherung nur von untergeordneter Bedeutung wären. Vorerst kann auch heute nicht ausser Acht gelassen werden, dass die Militärversicherung in enger Beziehung zur Wehrpflicht steht; ihr Hauptzweck besteht nicht nur gemäss Art. 18 Abs. 2 aBV , sondern auch nach Art. 59 Abs. 5 BV im Schutz von Personen, die Militär- oder Ersatzdienst leisten und dabei gesundheitlichen Schaden erleiden oder ihr Leben verlieren. Sie sowie ihre Angehörigen sollen gegen solche während des Dienstes erlittene Schäden geschützt werden (MAESCHI, Kommentar, a.a.O., S. 8). Selbst wenn einzelne gedeckte Risiken sich nicht ausschliesslich auf diesen Aspekt zurückführen lassen, hat die Leistungspflicht des Bundes im Rahmen der Militärversicherung ihre Grundlage doch vorab darin, dass jemand vom Bund zu einer Dienstleistung verpflichtet wird, die mit erhöhten Risiken verbunden ist (MAESCHI, Kommentar, a.a.O., BGE 127 II 289 S. 294 S. 9; STEGER-BRUHIN, a.a.O., S. 23; Botschaft des Bundesrats vom 27. Juni 1990 zum (neuen) Bundesgesetz über die Militärversicherung, BBl 1990 III 201, S. 207; s. auch B. SCHATZ, Kommentar zur Eidgenössischen Militärversicherung, Zürich 1952, S. 20). Der Bund soll die Verantwortung für Schädigungen übernehmen, die im Zusammenhang stehen mit der Situation, in die der Geschädigte wegen der vom Bund angeordneten Dienstleistung versetzt worden ist. Dahinter steckt die Idee einer haftpflichtrechtlichen Kausalität (STEGER-BRUHIN, a.a.O., S. 9). Charakteristisch dafür ist, dass bei Feststellung einer Gesundheitsschädigung nach dem Dienst eine überwiegende Wahrscheinlichkeit für eine Verursachung oder Verschlimmerung der Schädigung während des Dienstes glaubhaft gemacht werden muss ( Art. 6 MVG ), und dass auch bei Feststellung der Gesundheitsschädigung während des Dienstes die Militärversicherung sich von der Haftung befreien kann, wenn sie den Beweis dafür erbringt, dass die Schädigung sicher vordienstlich ist und sicher während des Dienstes sich weder verschlimmert hat noch in ihrem Ablauf beschleunigt worden ist ( Art. 5 Abs. 2 MVG ). Entgegen der Ansicht des Beschwerdeführers unterscheidet sich die Militärversicherung denn auch gerade unter dem Gesichtspunkt der Kausalität durchaus von der Unfallversicherung. Letztere setzt als Versicherung einzig einen Kausalzusammenhang zwischen dem Unfall (schädigendes Ereignis) und dem Gesundheitsschaden der versicherten Person voraus. Im Haftpflichtrecht ist ein Kausalzusammenhang zwischen dem (schuldhaften, gefahrenträchtigen) Verhalten eines Dritten und dem schädigenden Ereignis (haftungsbegründende Ursache) einerseits sowie zwischen diesem und dem Schaden andererseits erforderlich; es setzt demnach eine Kausalitätsstufe mehr voraus als die Unfallversicherung (RUMO-JUNGO, a.a.O., S. 91 f.). Die Leistungspflicht der Militärversicherung entsteht nicht schon bei Nachweis einer unfall- oder krankheitsbedingten Schädigung, sondern nur bei Bestehen einer weiteren Kausalitätsstufe, nämlich unter der Voraussetzung, dass ein Konnex zu einer im Interesse des Bundes absolvierten (regelmässig mit einem erhöhten Gefährdungspotential behafteten) Dienstleistung besteht. Nicht einschlägig sind die Ausführungen des Beschwerdeführers zur Tatsache, dass in der Militärversicherung keine Prämien erhoben werden. Es trifft offensichtlich nicht zu, dass diesbezüglich kein Unterschied zur AHV oder IV bestehe; diese Versicherungseinrichtungen werden gerade auch durch Beiträge (Prämien) der Versicherten finanziert. Somit werden dort die Leistungen, wenn die BGE 127 II 289 S. 295 Voraussetzungen erfüllt sind, vom Versichertenkollektiv mitgetragen, während bei der Militärversicherung der Bund (als Verursacher im weitesten Sinn) haftet (vgl. RUMO-JUNGO, a.a.O., S. 54, Rz. 95). Auch Art und Umfang der Leistungen der Militärversicherung sprechen in vielerlei Hinsicht für den Haftpflichtcharakter der Institution. So sind nebst den vom Beschwerdeführer erwähnten, in Art. 57 MVG vorgesehenen Entschädigungen für Sachschäden die in Art. 30 und 32 MVG erwähnten, gegebenenfalls umfangreichen Leistungen für die Verzögerung der Berufsausbildung bzw. an Selbständigerwerbende typische Haftpflichtleistungen (MAESCHI, SZS 2001 S. 270); der Beschwerdeführer hat zurzeit übrigens noch ein Verfahren betreffend Leistungen nach Art. 32 Abs. 2 MVG hängig. Wenn auch die Taggelder nach Prozenten begrenzt ( Art. 28 Abs. 2 MVG ) und nach oben plafoniert sind ( Art. 28 Abs. 4 MVG ), so sind doch die Leistungen wesentlich höher als bei den Sozialversicherungen; diese Besserstellung ist ein Merkmal einer Haftpflichtregelung (MAESCHI, SZS 2001 S. 271 und S. 278 ff.; RUMO-JUNGO, a.a.O., S. 37, Rz. 64). Dies gilt auch für die vom Beschwerdeführer aus Art. 59 Abs. 5 BV herausgelesene "Akzentverschiebung von der Bedürftigkeit des Geschädigten zur Angemessenheit der Entschädigungsleistung", die sich bei der Ausgestaltung der Militärversicherung feststellen lässt. Jedenfalls weist die Militärversicherung massgebliche Elemente einer Haftpflichteinrichtung auf. Unter dem Gesichtspunkt ihrer rechtlichen Natur gibt es keinen stichhaltigen Grund, von der mit BGE 103 Ib 276 konsolidierten Rechtsprechung abzuweichen. c) Anlass für eine Praxisänderung besteht auch nicht in anderer Hinsicht: Dass nunmehr Art. 135 Abs. 3 MG auf andere Haftungsbestimmungen, und nicht mehr wie Art. 22 Abs. 2 MO auf andere Haftpflichtbestimmungen verweist, ist im Hinblick auf die vom Beschwerdeführer beantragte Gesetzesauslegung unerheblich. Sodann schliessen sowohl das Strassenverkehrsgesetz wie auch das Luftfahrtgesetz nach wie vor die Anwendung der in diesen Erlassen vorgesehenen Haftpflichtregelungen ausdrücklich aus, wenn ein Versicherter der Militärversicherung durch ein Militärfahrzeug bzw. durch ein Militärluftfahrzeug verletzt oder getötet wird; diesfalls hat der Bund den Schaden ausschliesslich nach dem Militärversicherungsgesetz zu decken ( Art. 81 SVG [SR 741.01] bzw. Art. 78 LFG [SR 748.0]). Dabei werden die Leistungen der Militärversicherung vom Gesetzgeber offensichtlich als vollumfängliche BGE 127 II 289 S. 296 Haftpflichtleistungen betrachtet. Insofern spricht gerade das vom Beschwerdeführer angerufene Rechtsgleichheitsgebot dafür, die Bestimmungen der Militärversicherung auch im Verhältnis zu Art. 135 MG als Haftungsbestimmungen zu werten; es fällt in der Tat schon darum ausser Betracht, die vom Beschwerdeführer beantragte Auslegung von Art. 135 Abs. 3 MG aus dem Rechtsgleichheitsgebot abzuleiten (vgl. BGE 103 Ib 276 E. 6 letzter Satz S. 281 sowie E. 7 S. 281). Im Übrigen ist nicht einzusehen, warum für die Beurteilung der Vereinbarkeit der von der Vorinstanz vorgenommenen Gesetzesauslegung mit dem Rechtsgleichheitsgebot nicht darauf abgestellt werden sollte, ob die Schadensregelung durch die Militärversicherung unter Berücksichtigung verschiedener Konstellationen insgesamt zu vergleichsweise befriedigenden Lösungen führt. An den Ausführungen in BGE 103 Ib 276 E. 7 S. 281 f. ist jedenfalls festzuhalten. Es kann denn auch offen bleiben, ob der Beschwerdeführer in Anwendung von Art. 135 Abs. 1 MG tatsächlich in den Genuss von massgeblich höheren Entschädigungszahlungen gelangen könnte, als sie ihm nach dem Militärversicherungsgesetz auszurichten sind. Was schliesslich die Entstehungsgeschichte von Art. 135 Abs. 3 MG betrifft, so lässt die Botschaft des Bundesrats vom 8. September 1993 betreffend das Bundesgesetz über die Armee und die Militärverwaltung sowie den Bundesbeschluss über die Organisation der Armee (BBl 1993 IV 1ff.) keine Zweifel daran aufkommen, dass der Gesetzgeber eine zusätzliche Bundeshaftung wie bis anhin im Wesentlichen ausschliessen wollte, soweit ein Leistungsanspruch gegen die Militärversicherung besteht (S. 112). d) Die Bestimmungen des Militärversicherungsgesetzes sind somit "andere Haftungsbestimmungen" im Sinne von Art. 135 Abs. 3 MG , und der Beschwerdeführer kann keine Ansprüche gegen den Bund gestützt auf Art. 135 MG geltend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